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5"/>
        <w:ind w:left="3314" w:right="3628" w:hanging="1"/>
      </w:pPr>
      <w:r>
        <w:rPr/>
        <w:t>REPUBLIKA HRVATSKA PRIMORSKO-GORANSKA ŽUPANIJA OPĆINA MRKOPALJ</w:t>
      </w:r>
    </w:p>
    <w:p>
      <w:pPr>
        <w:pStyle w:val="BodyText"/>
        <w:spacing w:line="242" w:lineRule="auto" w:before="106"/>
        <w:ind w:left="150" w:right="874"/>
        <w:jc w:val="both"/>
      </w:pPr>
      <w:r>
        <w:rPr/>
        <w:t>Temeljem članka 39. Zakona o proračunu ( NN br. 87/08,136/12 i 15/15) i članka 29. Statuta Općine Mrkopalj (Službene novine Primorsko goranske županije 24/09,34/09- ispr. 13/13,19/13 i 8/18 ) Općinsko vijeće Općine Mrkopalj na sjednici održanoj 10. prosinca 2019. godine donijelo je:</w:t>
      </w:r>
    </w:p>
    <w:p>
      <w:pPr>
        <w:spacing w:line="240" w:lineRule="auto" w:before="65"/>
        <w:ind w:left="241" w:right="273" w:hanging="8"/>
        <w:jc w:val="center"/>
        <w:rPr>
          <w:b/>
          <w:sz w:val="36"/>
        </w:rPr>
      </w:pPr>
      <w:r>
        <w:rPr>
          <w:b/>
          <w:sz w:val="36"/>
        </w:rPr>
        <w:t>II IZMJENE I DOPUNE PRORAČUNA OPĆINE MRKOPALJ ZA 2019. GODINU I PROJEKCIJA PRORAČUNA ZA 2020.</w:t>
      </w:r>
      <w:r>
        <w:rPr>
          <w:b/>
          <w:spacing w:val="-30"/>
          <w:sz w:val="36"/>
        </w:rPr>
        <w:t> </w:t>
      </w:r>
      <w:r>
        <w:rPr>
          <w:b/>
          <w:sz w:val="36"/>
        </w:rPr>
        <w:t>I 2021.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GODINU</w:t>
      </w:r>
    </w:p>
    <w:p>
      <w:pPr>
        <w:pStyle w:val="Heading1"/>
        <w:numPr>
          <w:ilvl w:val="0"/>
          <w:numId w:val="1"/>
        </w:numPr>
        <w:tabs>
          <w:tab w:pos="4861" w:val="left" w:leader="none"/>
        </w:tabs>
        <w:spacing w:line="240" w:lineRule="auto" w:before="236" w:after="0"/>
        <w:ind w:left="4860" w:right="0" w:hanging="304"/>
        <w:jc w:val="left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DIO</w:t>
      </w:r>
    </w:p>
    <w:p>
      <w:pPr>
        <w:pStyle w:val="Heading2"/>
        <w:spacing w:before="58"/>
        <w:ind w:left="4856"/>
        <w:jc w:val="left"/>
        <w:rPr>
          <w:rFonts w:ascii="Tahoma" w:hAnsi="Tahoma"/>
        </w:rPr>
      </w:pPr>
      <w:r>
        <w:rPr>
          <w:rFonts w:ascii="Tahoma" w:hAnsi="Tahoma"/>
        </w:rPr>
        <w:t>Članak 1.</w:t>
      </w:r>
    </w:p>
    <w:p>
      <w:pPr>
        <w:pStyle w:val="BodyText"/>
        <w:spacing w:before="13"/>
        <w:ind w:left="150"/>
      </w:pPr>
      <w:r>
        <w:rPr/>
        <w:t>U Proračunu Općine Mrkopalj za 2019.godinu i Projekcijama za 2020. i 2021. g. ( Službene novine Primorsko goranske županije br. 41/2018, 20/2019 ) članak 1 . mijenja se i glasi: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50"/>
          <w:pgMar w:top="1180" w:bottom="280" w:left="700" w:right="380"/>
        </w:sectPr>
      </w:pPr>
    </w:p>
    <w:p>
      <w:pPr>
        <w:pStyle w:val="BodyText"/>
        <w:spacing w:before="6"/>
        <w:rPr>
          <w:sz w:val="36"/>
        </w:rPr>
      </w:pPr>
    </w:p>
    <w:p>
      <w:pPr>
        <w:spacing w:before="0"/>
        <w:ind w:left="150" w:right="0" w:firstLine="0"/>
        <w:jc w:val="left"/>
        <w:rPr>
          <w:b/>
          <w:sz w:val="24"/>
        </w:rPr>
      </w:pPr>
      <w:r>
        <w:rPr>
          <w:b/>
          <w:sz w:val="24"/>
        </w:rPr>
        <w:t>RAČUN PRIHODA I RASHODA</w:t>
      </w:r>
    </w:p>
    <w:p>
      <w:pPr>
        <w:tabs>
          <w:tab w:pos="2339" w:val="left" w:leader="none"/>
          <w:tab w:pos="2378" w:val="left" w:leader="none"/>
          <w:tab w:pos="3568" w:val="left" w:leader="none"/>
          <w:tab w:pos="5422" w:val="left" w:leader="none"/>
        </w:tabs>
        <w:spacing w:before="99"/>
        <w:ind w:left="678" w:right="314" w:hanging="528"/>
        <w:jc w:val="left"/>
        <w:rPr>
          <w:sz w:val="14"/>
        </w:rPr>
      </w:pPr>
      <w:r>
        <w:rPr/>
        <w:br w:type="column"/>
      </w:r>
      <w:r>
        <w:rPr>
          <w:sz w:val="14"/>
        </w:rPr>
        <w:t>Plan proračuna</w:t>
      </w:r>
      <w:r>
        <w:rPr>
          <w:spacing w:val="36"/>
          <w:sz w:val="14"/>
        </w:rPr>
        <w:t> </w:t>
      </w:r>
      <w:r>
        <w:rPr>
          <w:sz w:val="14"/>
        </w:rPr>
        <w:t>za</w:t>
      </w:r>
      <w:r>
        <w:rPr>
          <w:spacing w:val="-5"/>
          <w:sz w:val="14"/>
        </w:rPr>
        <w:t> </w:t>
      </w:r>
      <w:r>
        <w:rPr>
          <w:sz w:val="14"/>
        </w:rPr>
        <w:t>2019.</w:t>
        <w:tab/>
        <w:t>Povećanje</w:t>
      </w:r>
      <w:r>
        <w:rPr>
          <w:spacing w:val="-6"/>
          <w:sz w:val="14"/>
        </w:rPr>
        <w:t> </w:t>
      </w:r>
      <w:r>
        <w:rPr>
          <w:sz w:val="14"/>
        </w:rPr>
        <w:t>/</w:t>
        <w:tab/>
        <w:t>2 .Rebalans</w:t>
      </w:r>
      <w:r>
        <w:rPr>
          <w:spacing w:val="36"/>
          <w:sz w:val="14"/>
        </w:rPr>
        <w:t> </w:t>
      </w:r>
      <w:r>
        <w:rPr>
          <w:sz w:val="14"/>
        </w:rPr>
        <w:t>2019.</w:t>
      </w:r>
      <w:r>
        <w:rPr>
          <w:spacing w:val="-2"/>
          <w:sz w:val="14"/>
        </w:rPr>
        <w:t> </w:t>
      </w:r>
      <w:r>
        <w:rPr>
          <w:sz w:val="14"/>
        </w:rPr>
        <w:t>godine</w:t>
        <w:tab/>
      </w:r>
      <w:r>
        <w:rPr>
          <w:spacing w:val="-4"/>
          <w:sz w:val="14"/>
        </w:rPr>
        <w:t>Indeks </w:t>
      </w:r>
      <w:r>
        <w:rPr>
          <w:sz w:val="14"/>
        </w:rPr>
        <w:t>godinu</w:t>
        <w:tab/>
        <w:tab/>
        <w:t>smanjenje</w:t>
      </w:r>
    </w:p>
    <w:p>
      <w:pPr>
        <w:spacing w:after="0"/>
        <w:jc w:val="left"/>
        <w:rPr>
          <w:sz w:val="14"/>
        </w:rPr>
        <w:sectPr>
          <w:type w:val="continuous"/>
          <w:pgSz w:w="11900" w:h="16850"/>
          <w:pgMar w:top="1180" w:bottom="280" w:left="700" w:right="380"/>
          <w:cols w:num="2" w:equalWidth="0">
            <w:col w:w="3745" w:space="927"/>
            <w:col w:w="6148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2096"/>
        <w:gridCol w:w="1848"/>
        <w:gridCol w:w="1750"/>
        <w:gridCol w:w="1531"/>
        <w:gridCol w:w="615"/>
      </w:tblGrid>
      <w:tr>
        <w:trPr>
          <w:trHeight w:val="240" w:hRule="atLeast"/>
        </w:trPr>
        <w:tc>
          <w:tcPr>
            <w:tcW w:w="2655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159" w:lineRule="exact" w:before="61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7.861.400,00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59" w:lineRule="exact" w:before="61"/>
              <w:ind w:right="302"/>
              <w:jc w:val="right"/>
              <w:rPr>
                <w:sz w:val="14"/>
              </w:rPr>
            </w:pPr>
            <w:r>
              <w:rPr>
                <w:sz w:val="14"/>
              </w:rPr>
              <w:t>-51.000,00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59" w:lineRule="exact" w:before="6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7.810.400,00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59" w:lineRule="exact" w:before="61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99,35%</w:t>
            </w:r>
          </w:p>
        </w:tc>
      </w:tr>
      <w:tr>
        <w:trPr>
          <w:trHeight w:val="241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220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48" w:type="dxa"/>
          </w:tcPr>
          <w:p>
            <w:pPr>
              <w:pStyle w:val="TableParagraph"/>
              <w:spacing w:line="160" w:lineRule="exact" w:before="61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166.000,00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60" w:lineRule="exact" w:before="61"/>
              <w:ind w:right="302"/>
              <w:jc w:val="right"/>
              <w:rPr>
                <w:sz w:val="14"/>
              </w:rPr>
            </w:pPr>
            <w:r>
              <w:rPr>
                <w:sz w:val="14"/>
              </w:rPr>
              <w:t>-80.000,00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60" w:lineRule="exact" w:before="6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86.000,00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60" w:lineRule="exact" w:before="61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51,81%</w:t>
            </w:r>
          </w:p>
        </w:tc>
      </w:tr>
      <w:tr>
        <w:trPr>
          <w:trHeight w:val="218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198" w:lineRule="exact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48" w:type="dxa"/>
          </w:tcPr>
          <w:p>
            <w:pPr>
              <w:pStyle w:val="TableParagraph"/>
              <w:spacing w:line="158" w:lineRule="exact" w:before="40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8.027.400,00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58" w:lineRule="exact" w:before="40"/>
              <w:ind w:right="3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-131.000,00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58" w:lineRule="exact" w:before="4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7.896.400,00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58" w:lineRule="exact" w:before="40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98,37%</w:t>
            </w:r>
          </w:p>
        </w:tc>
      </w:tr>
      <w:tr>
        <w:trPr>
          <w:trHeight w:val="263" w:hRule="atLeast"/>
        </w:trPr>
        <w:tc>
          <w:tcPr>
            <w:tcW w:w="2655" w:type="dxa"/>
          </w:tcPr>
          <w:p>
            <w:pPr>
              <w:pStyle w:val="TableParagraph"/>
              <w:spacing w:line="222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3944" w:type="dxa"/>
            <w:gridSpan w:val="2"/>
          </w:tcPr>
          <w:p>
            <w:pPr>
              <w:pStyle w:val="TableParagraph"/>
              <w:spacing w:line="162" w:lineRule="exact" w:before="61"/>
              <w:ind w:left="2566"/>
              <w:rPr>
                <w:sz w:val="14"/>
              </w:rPr>
            </w:pPr>
            <w:r>
              <w:rPr>
                <w:sz w:val="14"/>
              </w:rPr>
              <w:t>4.661.800,00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62" w:lineRule="exact" w:before="61"/>
              <w:ind w:right="302"/>
              <w:jc w:val="right"/>
              <w:rPr>
                <w:sz w:val="14"/>
              </w:rPr>
            </w:pPr>
            <w:r>
              <w:rPr>
                <w:sz w:val="14"/>
              </w:rPr>
              <w:t>-52.900,00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62" w:lineRule="exact" w:before="6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4.608.900,00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62" w:lineRule="exact" w:before="61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98,87%</w:t>
            </w:r>
          </w:p>
        </w:tc>
      </w:tr>
      <w:tr>
        <w:trPr>
          <w:trHeight w:val="240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222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48" w:type="dxa"/>
          </w:tcPr>
          <w:p>
            <w:pPr>
              <w:pStyle w:val="TableParagraph"/>
              <w:spacing w:line="162" w:lineRule="exact" w:before="61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3.230.187,50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62" w:lineRule="exact" w:before="61"/>
              <w:ind w:right="302"/>
              <w:jc w:val="right"/>
              <w:rPr>
                <w:sz w:val="14"/>
              </w:rPr>
            </w:pPr>
            <w:r>
              <w:rPr>
                <w:sz w:val="14"/>
              </w:rPr>
              <w:t>-68.000,00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62" w:lineRule="exact" w:before="6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3.162.187,50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62" w:lineRule="exact" w:before="61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97,89%</w:t>
            </w:r>
          </w:p>
        </w:tc>
      </w:tr>
      <w:tr>
        <w:trPr>
          <w:trHeight w:val="230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208" w:lineRule="exact" w:before="3"/>
              <w:ind w:left="2671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848" w:type="dxa"/>
          </w:tcPr>
          <w:p>
            <w:pPr>
              <w:pStyle w:val="TableParagraph"/>
              <w:spacing w:line="168" w:lineRule="exact" w:before="43"/>
              <w:ind w:right="3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7.891.987,50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68" w:lineRule="exact" w:before="43"/>
              <w:ind w:right="3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-120.900,00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68" w:lineRule="exact" w:before="43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7.771.087,50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68" w:lineRule="exact" w:before="43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98,47%</w:t>
            </w:r>
          </w:p>
        </w:tc>
      </w:tr>
      <w:tr>
        <w:trPr>
          <w:trHeight w:val="230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198" w:lineRule="exact" w:before="12"/>
              <w:ind w:left="2119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48" w:type="dxa"/>
          </w:tcPr>
          <w:p>
            <w:pPr>
              <w:pStyle w:val="TableParagraph"/>
              <w:spacing w:line="158" w:lineRule="exact" w:before="52"/>
              <w:ind w:right="3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135.412,50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58" w:lineRule="exact" w:before="52"/>
              <w:ind w:right="3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-10.100,00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58" w:lineRule="exact" w:before="52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125.312,50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58" w:lineRule="exact" w:before="52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92,54%</w:t>
            </w:r>
          </w:p>
        </w:tc>
      </w:tr>
      <w:tr>
        <w:trPr>
          <w:trHeight w:val="602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SREDSTAVA IZ PRETHODNIH GODINA</w:t>
            </w:r>
          </w:p>
        </w:tc>
      </w:tr>
      <w:tr>
        <w:trPr>
          <w:trHeight w:val="290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48" w:type="dxa"/>
          </w:tcPr>
          <w:p>
            <w:pPr>
              <w:pStyle w:val="TableParagraph"/>
              <w:spacing w:before="61"/>
              <w:ind w:right="3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49.670,65 kn</w:t>
            </w:r>
          </w:p>
        </w:tc>
        <w:tc>
          <w:tcPr>
            <w:tcW w:w="1750" w:type="dxa"/>
          </w:tcPr>
          <w:p>
            <w:pPr>
              <w:pStyle w:val="TableParagraph"/>
              <w:spacing w:before="61"/>
              <w:ind w:left="615" w:right="6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 kn</w:t>
            </w:r>
          </w:p>
        </w:tc>
        <w:tc>
          <w:tcPr>
            <w:tcW w:w="2146" w:type="dxa"/>
            <w:gridSpan w:val="2"/>
          </w:tcPr>
          <w:p>
            <w:pPr>
              <w:pStyle w:val="TableParagraph"/>
              <w:spacing w:before="61"/>
              <w:ind w:left="464"/>
              <w:rPr>
                <w:b/>
                <w:sz w:val="14"/>
              </w:rPr>
            </w:pPr>
            <w:r>
              <w:rPr>
                <w:b/>
                <w:sz w:val="14"/>
              </w:rPr>
              <w:t>49.670,55 kn 277,92%</w:t>
            </w:r>
          </w:p>
        </w:tc>
      </w:tr>
      <w:tr>
        <w:trPr>
          <w:trHeight w:val="636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5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44.587,50 kn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4"/>
              </w:rPr>
            </w:pPr>
            <w:r>
              <w:rPr>
                <w:sz w:val="14"/>
              </w:rPr>
              <w:t>2.100,00 kn</w:t>
            </w:r>
          </w:p>
        </w:tc>
        <w:tc>
          <w:tcPr>
            <w:tcW w:w="2146" w:type="dxa"/>
            <w:gridSpan w:val="2"/>
          </w:tcPr>
          <w:p>
            <w:pPr>
              <w:pStyle w:val="TableParagraph"/>
              <w:spacing w:before="115"/>
              <w:ind w:left="641"/>
              <w:rPr>
                <w:sz w:val="14"/>
              </w:rPr>
            </w:pPr>
            <w:r>
              <w:rPr>
                <w:sz w:val="14"/>
              </w:rPr>
              <w:t>46.687,50 kn</w:t>
            </w:r>
          </w:p>
        </w:tc>
      </w:tr>
      <w:tr>
        <w:trPr>
          <w:trHeight w:val="865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2" w:lineRule="exact" w:before="105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2" w:lineRule="exact" w:before="105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21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2" w:lineRule="exact" w:before="105"/>
              <w:ind w:left="992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</w:tr>
      <w:tr>
        <w:trPr>
          <w:trHeight w:val="238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220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48" w:type="dxa"/>
          </w:tcPr>
          <w:p>
            <w:pPr>
              <w:pStyle w:val="TableParagraph"/>
              <w:spacing w:line="160" w:lineRule="exact" w:before="61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180.000,00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60" w:lineRule="exact" w:before="61"/>
              <w:ind w:right="302"/>
              <w:jc w:val="right"/>
              <w:rPr>
                <w:sz w:val="14"/>
              </w:rPr>
            </w:pPr>
            <w:r>
              <w:rPr>
                <w:sz w:val="14"/>
              </w:rPr>
              <w:t>-8.000,00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60" w:lineRule="exact" w:before="61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172.000,00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60" w:lineRule="exact" w:before="61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95,56%</w:t>
            </w:r>
          </w:p>
        </w:tc>
      </w:tr>
      <w:tr>
        <w:trPr>
          <w:trHeight w:val="218" w:hRule="atLeast"/>
        </w:trPr>
        <w:tc>
          <w:tcPr>
            <w:tcW w:w="4751" w:type="dxa"/>
            <w:gridSpan w:val="2"/>
          </w:tcPr>
          <w:p>
            <w:pPr>
              <w:pStyle w:val="TableParagraph"/>
              <w:spacing w:line="198" w:lineRule="exact"/>
              <w:ind w:left="2470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48" w:type="dxa"/>
          </w:tcPr>
          <w:p>
            <w:pPr>
              <w:pStyle w:val="TableParagraph"/>
              <w:spacing w:line="158" w:lineRule="exact" w:before="40"/>
              <w:ind w:right="3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-180.000,00 kn</w:t>
            </w:r>
          </w:p>
        </w:tc>
        <w:tc>
          <w:tcPr>
            <w:tcW w:w="1750" w:type="dxa"/>
          </w:tcPr>
          <w:p>
            <w:pPr>
              <w:pStyle w:val="TableParagraph"/>
              <w:spacing w:line="158" w:lineRule="exact" w:before="40"/>
              <w:ind w:right="3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 kn</w:t>
            </w:r>
          </w:p>
        </w:tc>
        <w:tc>
          <w:tcPr>
            <w:tcW w:w="1531" w:type="dxa"/>
          </w:tcPr>
          <w:p>
            <w:pPr>
              <w:pStyle w:val="TableParagraph"/>
              <w:spacing w:line="158" w:lineRule="exact" w:before="40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-172.000,00 kn</w:t>
            </w:r>
          </w:p>
        </w:tc>
        <w:tc>
          <w:tcPr>
            <w:tcW w:w="615" w:type="dxa"/>
          </w:tcPr>
          <w:p>
            <w:pPr>
              <w:pStyle w:val="TableParagraph"/>
              <w:spacing w:line="158" w:lineRule="exact" w:before="40"/>
              <w:ind w:right="4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95,56%</w:t>
            </w: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tabs>
          <w:tab w:pos="5801" w:val="left" w:leader="none"/>
          <w:tab w:pos="7616" w:val="left" w:leader="none"/>
          <w:tab w:pos="9374" w:val="left" w:leader="none"/>
        </w:tabs>
        <w:spacing w:line="217" w:lineRule="exact" w:before="102"/>
        <w:ind w:left="150" w:right="0" w:firstLine="0"/>
        <w:jc w:val="left"/>
        <w:rPr>
          <w:sz w:val="14"/>
        </w:rPr>
      </w:pPr>
      <w:r>
        <w:rPr>
          <w:b/>
          <w:sz w:val="18"/>
        </w:rPr>
        <w:t>VIŠAK/MANJAK + NETO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FINANCIRANJE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+</w:t>
        <w:tab/>
      </w:r>
      <w:r>
        <w:rPr>
          <w:b/>
          <w:sz w:val="14"/>
        </w:rPr>
        <w:t>0,00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kn</w:t>
        <w:tab/>
        <w:t>0,00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kn</w:t>
        <w:tab/>
        <w:t>0,00 kn</w:t>
      </w:r>
      <w:r>
        <w:rPr>
          <w:b/>
          <w:spacing w:val="39"/>
          <w:sz w:val="14"/>
        </w:rPr>
        <w:t> </w:t>
      </w:r>
      <w:r>
        <w:rPr>
          <w:sz w:val="14"/>
        </w:rPr>
        <w:t>104,71%</w:t>
      </w:r>
    </w:p>
    <w:p>
      <w:pPr>
        <w:spacing w:line="244" w:lineRule="auto" w:before="0"/>
        <w:ind w:left="150" w:right="6776" w:firstLine="0"/>
        <w:jc w:val="left"/>
        <w:rPr>
          <w:b/>
          <w:sz w:val="18"/>
        </w:rPr>
      </w:pPr>
      <w:r>
        <w:rPr>
          <w:b/>
          <w:sz w:val="18"/>
        </w:rPr>
        <w:t>RASPOLOŽIVA SREDSTVA IZ PRETHODNIH GODINA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2"/>
        <w:spacing w:before="0"/>
        <w:ind w:left="4913"/>
        <w:jc w:val="left"/>
        <w:rPr>
          <w:rFonts w:ascii="Tahoma" w:hAnsi="Tahoma"/>
        </w:rPr>
      </w:pPr>
      <w:r>
        <w:rPr>
          <w:rFonts w:ascii="Tahoma" w:hAnsi="Tahoma"/>
        </w:rPr>
        <w:t>Članak 2.</w:t>
      </w:r>
    </w:p>
    <w:p>
      <w:pPr>
        <w:pStyle w:val="BodyText"/>
        <w:spacing w:before="14"/>
        <w:ind w:left="150" w:right="174"/>
      </w:pPr>
      <w:r>
        <w:rPr/>
        <w:t>U članku 2. Prihodi i primici, te rashodi i izdaci po ekonomskoj klasifikaciji utvrđeni u Računu prihoda i rashoda i Računu financiranja, mijenjaju se kako slijedi :</w:t>
      </w:r>
    </w:p>
    <w:p>
      <w:pPr>
        <w:spacing w:after="0"/>
        <w:sectPr>
          <w:type w:val="continuous"/>
          <w:pgSz w:w="11900" w:h="16850"/>
          <w:pgMar w:top="1180" w:bottom="280" w:left="700" w:right="380"/>
        </w:sectPr>
      </w:pPr>
    </w:p>
    <w:p>
      <w:pPr>
        <w:pStyle w:val="Heading2"/>
        <w:spacing w:before="71"/>
        <w:ind w:left="4913"/>
        <w:jc w:val="left"/>
        <w:rPr>
          <w:rFonts w:ascii="Tahoma" w:hAnsi="Tahoma"/>
        </w:rPr>
      </w:pPr>
      <w:r>
        <w:rPr>
          <w:rFonts w:ascii="Tahoma" w:hAnsi="Tahoma"/>
        </w:rPr>
        <w:t>Članak 3.</w:t>
      </w:r>
    </w:p>
    <w:p>
      <w:pPr>
        <w:pStyle w:val="BodyText"/>
        <w:spacing w:before="14"/>
        <w:ind w:left="150"/>
      </w:pPr>
      <w:r>
        <w:rPr/>
        <w:t>Rashodi poslovanja i izdaci za nabavu nefinancijske imovine raspoređuje se po izvorima, korisnicima, aktivnostima i projektima u Posebnom dijelu ovih Izmjena i dopuna Proračuna .</w:t>
      </w:r>
    </w:p>
    <w:p>
      <w:pPr>
        <w:pStyle w:val="Heading2"/>
        <w:spacing w:before="126"/>
        <w:ind w:left="4913"/>
        <w:jc w:val="left"/>
        <w:rPr>
          <w:rFonts w:ascii="Tahoma" w:hAnsi="Tahoma"/>
        </w:rPr>
      </w:pPr>
      <w:r>
        <w:rPr>
          <w:rFonts w:ascii="Tahoma" w:hAnsi="Tahoma"/>
        </w:rPr>
        <w:t>Članak 4.</w:t>
      </w:r>
    </w:p>
    <w:p>
      <w:pPr>
        <w:pStyle w:val="BodyText"/>
        <w:spacing w:before="13"/>
        <w:ind w:left="150"/>
      </w:pPr>
      <w:r>
        <w:rPr/>
        <w:t>Sve ostale odredbe Proračuna ostaju nepromijenjene 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  <w:ind w:left="4784"/>
        <w:jc w:val="left"/>
        <w:rPr>
          <w:rFonts w:ascii="Tahoma" w:hAnsi="Tahoma"/>
        </w:rPr>
      </w:pPr>
      <w:r>
        <w:rPr>
          <w:rFonts w:ascii="Tahoma" w:hAnsi="Tahoma"/>
        </w:rPr>
        <w:t>Članak 5.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150"/>
      </w:pPr>
      <w:r>
        <w:rPr/>
        <w:t>Ove Izmjene i dopune proračuna za 2019. godinu stupaju na snagu prvi dan nakon objave u Službenim novinama Primorsko – goranske županije.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201"/>
        <w:ind w:left="150" w:right="8193"/>
      </w:pPr>
      <w:r>
        <w:rPr/>
        <w:t>KLASA: 021-05/19-01/01 URBROJ: 2112-05-01-19-24</w:t>
      </w:r>
    </w:p>
    <w:p>
      <w:pPr>
        <w:pStyle w:val="BodyText"/>
        <w:spacing w:before="2"/>
        <w:ind w:left="150"/>
      </w:pPr>
      <w:r>
        <w:rPr/>
        <w:t>Mrkopalj, 10.prosinac 2019. godine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 w:before="1"/>
        <w:ind w:left="5821" w:right="2142"/>
        <w:jc w:val="center"/>
      </w:pPr>
      <w:r>
        <w:rPr/>
        <w:t>Općinsko vijeće Općine Mrkopalj Predsjednik</w:t>
      </w:r>
    </w:p>
    <w:p>
      <w:pPr>
        <w:pStyle w:val="BodyText"/>
        <w:spacing w:before="2"/>
        <w:ind w:left="5821" w:right="2136"/>
        <w:jc w:val="center"/>
      </w:pPr>
      <w:r>
        <w:rPr/>
        <w:t>Zvonko Matković</w:t>
      </w:r>
    </w:p>
    <w:p>
      <w:pPr>
        <w:spacing w:after="0"/>
        <w:jc w:val="center"/>
        <w:sectPr>
          <w:pgSz w:w="11900" w:h="16850"/>
          <w:pgMar w:top="320" w:bottom="280" w:left="700" w:right="380"/>
        </w:sectPr>
      </w:pPr>
    </w:p>
    <w:p>
      <w:pPr>
        <w:pStyle w:val="BodyText"/>
        <w:spacing w:before="5"/>
        <w:rPr>
          <w:sz w:val="2"/>
        </w:rPr>
      </w:pPr>
    </w:p>
    <w:p>
      <w:pPr>
        <w:pStyle w:val="BodyText"/>
        <w:ind w:left="4738"/>
      </w:pPr>
      <w:r>
        <w:rPr/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2"/>
        <w:ind w:left="0" w:right="529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0" w:right="529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ind w:right="5291"/>
      </w:pPr>
      <w:r>
        <w:rPr/>
        <w:pict>
          <v:group style="position:absolute;margin-left:42.5pt;margin-top:18.392076pt;width:769.15pt;height:1.05pt;mso-position-horizontal-relative:page;mso-position-vertical-relative:paragraph;z-index:-251658240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/>
        <w:t>OPĆINA MRKOPALJ</w:t>
      </w:r>
    </w:p>
    <w:p>
      <w:pPr>
        <w:spacing w:before="36"/>
        <w:ind w:left="0" w:right="19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 . GODINU</w:t>
      </w:r>
    </w:p>
    <w:p>
      <w:pPr>
        <w:pStyle w:val="Heading3"/>
        <w:ind w:right="166"/>
      </w:pPr>
      <w:r>
        <w:rPr/>
        <w:t>RAČUN PRIHODA  I RASHODA - PRIHODI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>
        <w:trPr>
          <w:trHeight w:val="837" w:hRule="atLeast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28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line="240" w:lineRule="exact"/>
              <w:ind w:left="685" w:right="66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7" w:right="71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7.861.400,00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7.810.400,00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99,35%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2.427.000,00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93,35%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1.985.000,00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-73.000,00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1.912.000,00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96,32%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2.797.500,00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234.500,00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108,38%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2.592.500,00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2.827.000,00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109,05%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97,59%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256.300,00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-6.200,00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250.100,00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</w:tr>
      <w:tr>
        <w:trPr>
          <w:trHeight w:val="475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2.206.500,00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-106.300,00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2.100.200,00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95,18%</w:t>
            </w:r>
          </w:p>
        </w:tc>
      </w:tr>
      <w:tr>
        <w:trPr>
          <w:trHeight w:val="26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91.200,00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45,18%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1.581.300,00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1.579.000,00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99,85%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534.000,00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-54.000,00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89,89%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3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-80.000,00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51,81%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59,17%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59,17%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5"/>
          <w:footerReference w:type="even" r:id="rId6"/>
          <w:pgSz w:w="16850" w:h="11910" w:orient="landscape"/>
          <w:pgMar w:footer="883" w:header="0" w:top="1100" w:bottom="1080" w:left="720" w:right="36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69.1pt;height:.5pt;mso-position-horizontal-relative:char;mso-position-vertical-relative:line" coordorigin="0,0" coordsize="15382,10">
            <v:line style="position:absolute" from="0,5" to="1538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56"/>
        <w:ind w:left="0" w:right="19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 . GODINU</w:t>
      </w:r>
    </w:p>
    <w:p>
      <w:pPr>
        <w:spacing w:before="73"/>
        <w:ind w:left="0" w:right="166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RAČUN PRIHODA  I RASHODA - PRIHODI</w:t>
      </w:r>
    </w:p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>
        <w:trPr>
          <w:trHeight w:val="837" w:hRule="atLeast"/>
        </w:trPr>
        <w:tc>
          <w:tcPr>
            <w:tcW w:w="146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8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8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line="240" w:lineRule="exact"/>
              <w:ind w:left="684" w:right="66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 w:right="72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2"/>
              <w:ind w:left="235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32,61%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-31.000,00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32,61%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2"/>
        <w:gridCol w:w="1118"/>
      </w:tblGrid>
      <w:tr>
        <w:trPr>
          <w:trHeight w:val="422" w:hRule="atLeast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8.027.400,00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-131.000,00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7.896.400,00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8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98,37%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883" w:top="1100" w:bottom="1080" w:left="720" w:right="36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22"/>
        <w:ind w:left="0" w:right="529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0" w:right="529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ind w:right="5291"/>
      </w:pPr>
      <w:r>
        <w:rPr/>
        <w:pict>
          <v:group style="position:absolute;margin-left:42.5pt;margin-top:18.392076pt;width:769.15pt;height:1.05pt;mso-position-horizontal-relative:page;mso-position-vertical-relative:paragraph;z-index:-251656192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/>
        <w:t>OPĆINA MRKOPALJ</w:t>
      </w:r>
    </w:p>
    <w:p>
      <w:pPr>
        <w:spacing w:before="36"/>
        <w:ind w:left="0" w:right="19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2019.GODINU</w:t>
      </w:r>
    </w:p>
    <w:p>
      <w:pPr>
        <w:pStyle w:val="Heading3"/>
      </w:pPr>
      <w:r>
        <w:rPr/>
        <w:t>RAČUN PRIHODA I RASHODA -RASHODI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>
        <w:trPr>
          <w:trHeight w:val="837" w:hRule="atLeast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28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line="240" w:lineRule="exact"/>
              <w:ind w:left="685" w:right="66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7" w:right="71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4.661.800,00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-52.900,00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4.608.900,00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98,87%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2.067.200,00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100,68%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-37.000,00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303.000,00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89,12%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1.367.200,00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21.800,00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1.389.000,00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101,59%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337.000,00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368.200,00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109,26%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108,16%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96,79%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>
        <w:trPr>
          <w:trHeight w:val="473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3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</w:t>
            </w:r>
          </w:p>
          <w:p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95,50%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289.000,00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95,50%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252.900,00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-70.400,00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182.500,00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72,16%</w:t>
            </w:r>
          </w:p>
        </w:tc>
      </w:tr>
      <w:tr>
        <w:trPr>
          <w:trHeight w:val="275" w:hRule="atLeast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252.900,00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-70.400,00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182.500,00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72,16%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883" w:top="1100" w:bottom="1080" w:left="720" w:right="36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69.1pt;height:.5pt;mso-position-horizontal-relative:char;mso-position-vertical-relative:line" coordorigin="0,0" coordsize="15382,10">
            <v:line style="position:absolute" from="0,5" to="1538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56"/>
        <w:ind w:left="0" w:right="19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2019.GODINU</w:t>
      </w:r>
    </w:p>
    <w:p>
      <w:pPr>
        <w:spacing w:before="73"/>
        <w:ind w:left="0" w:right="165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RAČUN PRIHODA I RASHODA -RASHODI</w:t>
      </w:r>
    </w:p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>
        <w:trPr>
          <w:trHeight w:val="837" w:hRule="atLeast"/>
        </w:trPr>
        <w:tc>
          <w:tcPr>
            <w:tcW w:w="146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8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8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line="240" w:lineRule="exact"/>
              <w:ind w:left="684" w:right="66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 w:right="72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2"/>
              <w:ind w:left="235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1.053.000,00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101,69%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2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639.500,00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646.000,00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101,02%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371.000,00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382.000,00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102,96%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>
        <w:trPr>
          <w:trHeight w:val="26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9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9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3.230.187,50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-68.000,00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3.162.187,50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9" w:lineRule="exact"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97,89%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3.225.187,50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-65.000,00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3.160.187,50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97,98%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3.146.600,00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3.085.600,00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98,06%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78.587,50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74.587,50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94,91%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40,00%</w:t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2"/>
        <w:gridCol w:w="1118"/>
      </w:tblGrid>
      <w:tr>
        <w:trPr>
          <w:trHeight w:val="423" w:hRule="atLeast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7.891.987,50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-120.900,00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7.771.087,50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8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98,47%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883" w:top="1100" w:bottom="1080" w:left="720" w:right="36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22"/>
        <w:ind w:left="0" w:right="529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0" w:right="529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ind w:right="5291"/>
      </w:pPr>
      <w:r>
        <w:rPr/>
        <w:pict>
          <v:group style="position:absolute;margin-left:42.5pt;margin-top:18.392076pt;width:769.15pt;height:1.05pt;mso-position-horizontal-relative:page;mso-position-vertical-relative:paragraph;z-index:-251654144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/>
        <w:t>OPĆINA MRKOPALJ</w:t>
      </w:r>
    </w:p>
    <w:p>
      <w:pPr>
        <w:spacing w:before="36"/>
        <w:ind w:left="0" w:right="19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2019. GODINU</w:t>
      </w:r>
    </w:p>
    <w:p>
      <w:pPr>
        <w:pStyle w:val="Heading3"/>
        <w:ind w:right="168"/>
      </w:pPr>
      <w:r>
        <w:rPr/>
        <w:t>RASPOLOŽIVA SREDSTVA IZ PRETHODNIH GODINA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18"/>
        <w:gridCol w:w="12114"/>
        <w:gridCol w:w="1818"/>
      </w:tblGrid>
      <w:tr>
        <w:trPr>
          <w:trHeight w:val="837" w:hRule="atLeast"/>
        </w:trPr>
        <w:tc>
          <w:tcPr>
            <w:tcW w:w="1453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1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812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9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8"/>
              <w:ind w:left="211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211" w:right="240"/>
              <w:jc w:val="center"/>
              <w:rPr>
                <w:sz w:val="20"/>
              </w:rPr>
            </w:pPr>
            <w:r>
              <w:rPr>
                <w:sz w:val="20"/>
              </w:rPr>
              <w:t>2019 - 2</w:t>
            </w:r>
          </w:p>
          <w:p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49.670,55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49.670,55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3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49.670,55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group style="position:absolute;margin-left:42.5pt;margin-top:10.075076pt;width:769.15pt;height:23.9pt;mso-position-horizontal-relative:page;mso-position-vertical-relative:paragraph;z-index:-251651072;mso-wrap-distance-left:0;mso-wrap-distance-right:0" coordorigin="850,202" coordsize="15383,478">
            <v:line style="position:absolute" from="14413,212" to="14413,679" stroked="true" strokeweight=".140pt" strokecolor="#000000">
              <v:stroke dashstyle="solid"/>
            </v:line>
            <v:line style="position:absolute" from="850,659" to="16232,659" stroked="true" strokeweight="1.0059pt" strokecolor="#000000">
              <v:stroke dashstyle="solid"/>
            </v:line>
            <v:line style="position:absolute" from="850,212" to="16232,212" stroked="true" strokeweight="1.0059pt" strokecolor="#000000">
              <v:stroke dashstyle="solid"/>
            </v:line>
            <v:shape style="position:absolute;left:2126;top:303;width:1055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  <w10:wrap type="none"/>
            </v:shape>
            <v:shape style="position:absolute;left:15187;top:305;width:981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49.670,55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42.5pt,9.592613pt" to="811.62pt,9.592613pt" stroked="true" strokeweight=".98193pt" strokecolor="#000000">
            <v:stroke dashstyle="solid"/>
            <w10:wrap type="topAndBottom"/>
          </v:line>
        </w:pict>
      </w:r>
    </w:p>
    <w:p>
      <w:pPr>
        <w:tabs>
          <w:tab w:pos="13782" w:val="left" w:leader="none"/>
        </w:tabs>
        <w:spacing w:line="164" w:lineRule="exact" w:before="0"/>
        <w:ind w:left="0" w:right="194" w:firstLine="0"/>
        <w:jc w:val="center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2"/>
          <w:sz w:val="16"/>
        </w:rPr>
        <w:t> </w:t>
      </w:r>
      <w:r>
        <w:rPr>
          <w:sz w:val="16"/>
        </w:rPr>
        <w:t>obrada:</w:t>
      </w:r>
    </w:p>
    <w:p>
      <w:pPr>
        <w:spacing w:after="0" w:line="164" w:lineRule="exact"/>
        <w:jc w:val="center"/>
        <w:rPr>
          <w:sz w:val="16"/>
        </w:rPr>
        <w:sectPr>
          <w:footerReference w:type="default" r:id="rId8"/>
          <w:pgSz w:w="16850" w:h="11910" w:orient="landscape"/>
          <w:pgMar w:footer="0" w:header="0" w:top="1100" w:bottom="280" w:left="720" w:right="362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rptE1L</w:t>
      </w:r>
    </w:p>
    <w:p>
      <w:pPr>
        <w:spacing w:before="0"/>
        <w:ind w:left="75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50" w:h="11910" w:orient="landscape"/>
          <w:pgMar w:top="1180" w:bottom="280" w:left="720" w:right="362"/>
          <w:cols w:num="2" w:equalWidth="0">
            <w:col w:w="13481" w:space="40"/>
            <w:col w:w="2247"/>
          </w:cols>
        </w:sectPr>
      </w:pPr>
    </w:p>
    <w:p>
      <w:pPr>
        <w:pStyle w:val="BodyText"/>
        <w:spacing w:before="5"/>
        <w:rPr>
          <w:b/>
          <w:sz w:val="2"/>
        </w:rPr>
      </w:pPr>
    </w:p>
    <w:p>
      <w:pPr>
        <w:pStyle w:val="BodyText"/>
        <w:ind w:left="4738"/>
      </w:pPr>
      <w:r>
        <w:rPr/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2"/>
        <w:ind w:left="0" w:right="529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0" w:right="529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ind w:right="5291"/>
      </w:pPr>
      <w:r>
        <w:rPr/>
        <w:pict>
          <v:group style="position:absolute;margin-left:42.5pt;margin-top:18.392076pt;width:769.15pt;height:1.05pt;mso-position-horizontal-relative:page;mso-position-vertical-relative:paragraph;z-index:-251649024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/>
        <w:t>OPĆINA MRKOPALJ</w:t>
      </w:r>
    </w:p>
    <w:p>
      <w:pPr>
        <w:spacing w:before="36"/>
        <w:ind w:left="0" w:right="19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2019. GODINU</w:t>
      </w:r>
    </w:p>
    <w:p>
      <w:pPr>
        <w:pStyle w:val="Heading3"/>
        <w:ind w:right="168"/>
      </w:pPr>
      <w:r>
        <w:rPr/>
        <w:t>RASPOLOŽIVA SREDSTVA IZ PRETHODNIH GODINA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>
        <w:trPr>
          <w:trHeight w:val="837" w:hRule="atLeast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28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line="240" w:lineRule="exact"/>
              <w:ind w:left="685" w:right="66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7" w:right="70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-172.000,00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95,56%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99,33%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-150.000,00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-149.000,00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76,67%</w:t>
            </w:r>
          </w:p>
        </w:tc>
      </w:tr>
      <w:tr>
        <w:trPr>
          <w:trHeight w:val="474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3"/>
              <w:ind w:left="151" w:right="47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-30.000,00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-23.000,00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76,67%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2"/>
        <w:gridCol w:w="1118"/>
      </w:tblGrid>
      <w:tr>
        <w:trPr>
          <w:trHeight w:val="423" w:hRule="atLeast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5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2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95,56%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even" r:id="rId9"/>
          <w:footerReference w:type="default" r:id="rId10"/>
          <w:pgSz w:w="16850" w:h="11910" w:orient="landscape"/>
          <w:pgMar w:footer="883" w:header="0" w:top="1100" w:bottom="1080" w:left="720" w:right="362"/>
        </w:sectPr>
      </w:pP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8"/>
        <w:ind w:left="3628" w:right="892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52"/>
        <w:ind w:left="3629" w:right="892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spacing w:before="54"/>
        <w:ind w:left="3629" w:right="8927"/>
      </w:pPr>
      <w:r>
        <w:rPr/>
        <w:pict>
          <v:line style="position:absolute;mso-position-horizontal-relative:page;mso-position-vertical-relative:paragraph;z-index:-251648000;mso-wrap-distance-left:0;mso-wrap-distance-right:0" from="184.240005pt,18.794184pt" to="410.930005pt,18.794184pt" stroked="true" strokeweight=".2874pt" strokecolor="#000000">
            <v:stroke dashstyle="solid"/>
            <w10:wrap type="topAndBottom"/>
          </v:line>
        </w:pict>
      </w:r>
      <w:r>
        <w:rPr/>
        <w:t>OPĆINA MRKOPALJ</w:t>
      </w:r>
    </w:p>
    <w:p>
      <w:pPr>
        <w:pStyle w:val="BodyText"/>
        <w:spacing w:before="11"/>
        <w:rPr>
          <w:rFonts w:ascii="Arial"/>
          <w:b/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>
        <w:trPr>
          <w:trHeight w:val="842" w:hRule="atLeast"/>
        </w:trPr>
        <w:tc>
          <w:tcPr>
            <w:tcW w:w="155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714" w:right="27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 GODINU</w:t>
            </w:r>
          </w:p>
          <w:p>
            <w:pPr>
              <w:pStyle w:val="TableParagraph"/>
              <w:spacing w:before="73"/>
              <w:ind w:left="2714" w:right="27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89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/>
              <w:ind w:left="401" w:right="37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402" w:right="37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2" w:lineRule="exact" w:before="2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/>
              <w:ind w:left="3361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2" w:lineRule="exact"/>
              <w:ind w:right="2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64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3"/>
              <w:ind w:left="661" w:right="70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2" w:lineRule="exact" w:before="18"/>
              <w:ind w:righ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95" w:right="37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3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2" w:lineRule="exact" w:before="18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51" w:right="67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2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3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2" w:lineRule="exact" w:before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891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507" w:val="left" w:leader="none"/>
              </w:tabs>
              <w:spacing w:line="243" w:lineRule="exact"/>
              <w:ind w:left="27"/>
              <w:rPr>
                <w:b/>
                <w:sz w:val="20"/>
              </w:rPr>
            </w:pPr>
            <w:r>
              <w:rPr>
                <w:b/>
                <w:position w:val="5"/>
                <w:sz w:val="16"/>
              </w:rPr>
              <w:t>RAZDJEL</w:t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  <w:p>
            <w:pPr>
              <w:pStyle w:val="TableParagraph"/>
              <w:spacing w:line="169" w:lineRule="exact" w:before="40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8.071.987,50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-128.900,00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7.943.087,50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98,40%</w:t>
            </w:r>
          </w:p>
        </w:tc>
      </w:tr>
      <w:tr>
        <w:trPr>
          <w:trHeight w:val="47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103,13%</w:t>
            </w:r>
          </w:p>
        </w:tc>
      </w:tr>
      <w:tr>
        <w:trPr>
          <w:trHeight w:val="483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103,13%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1.230.200,00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1.234.900,00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100,38%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71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71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71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104,88%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71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-3.800,00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97,76%</w:t>
            </w: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 w:before="1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744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81,08%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8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93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76,67%</w:t>
            </w:r>
          </w:p>
        </w:tc>
      </w:tr>
    </w:tbl>
    <w:p>
      <w:pPr>
        <w:pStyle w:val="BodyText"/>
        <w:spacing w:before="7"/>
        <w:rPr>
          <w:rFonts w:ascii="Arial"/>
          <w:b/>
          <w:sz w:val="5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42.5pt,5.70007pt" to="817.05pt,5.70007pt" stroked="true" strokeweight=".9819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5"/>
        </w:rPr>
        <w:sectPr>
          <w:pgSz w:w="16850" w:h="11910" w:orient="landscape"/>
          <w:pgMar w:header="0" w:footer="801" w:top="1100" w:bottom="1000" w:left="720" w:right="36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>
        <w:trPr>
          <w:trHeight w:val="845" w:hRule="atLeast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exact" w:before="9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1" w:lineRule="exact" w:before="1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1" w:lineRule="exact" w:before="18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1" w:lineRule="exact" w:before="18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9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1" w:lineRule="exact" w:before="1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8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130,43%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130,43%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A102302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>
        <w:trPr>
          <w:trHeight w:val="143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>
        <w:trPr>
          <w:trHeight w:val="478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3.739.487,50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-89.900,00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3.649.587,50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97,60%</w:t>
            </w:r>
          </w:p>
        </w:tc>
      </w:tr>
      <w:tr>
        <w:trPr>
          <w:trHeight w:val="47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-70.400,00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74,67%</w:t>
            </w:r>
          </w:p>
        </w:tc>
      </w:tr>
      <w:tr>
        <w:trPr>
          <w:trHeight w:val="258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252.900,00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-70.400,00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182.500,00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72,16%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2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252.900,00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-70.400,00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182.500,00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72,16%</w:t>
            </w:r>
          </w:p>
        </w:tc>
      </w:tr>
      <w:tr>
        <w:trPr>
          <w:trHeight w:val="487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7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42.5pt,7.605035pt" to="817.05pt,7.605035pt" stroked="true" strokeweight=".9819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8"/>
        </w:rPr>
        <w:sectPr>
          <w:footerReference w:type="even" r:id="rId11"/>
          <w:footerReference w:type="default" r:id="rId12"/>
          <w:pgSz w:w="16850" w:h="11910" w:orient="landscape"/>
          <w:pgMar w:footer="801" w:header="0" w:top="1100" w:bottom="1000" w:left="720" w:right="36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6"/>
        <w:gridCol w:w="116"/>
        <w:gridCol w:w="112"/>
        <w:gridCol w:w="397"/>
        <w:gridCol w:w="7441"/>
        <w:gridCol w:w="1869"/>
        <w:gridCol w:w="1817"/>
        <w:gridCol w:w="1822"/>
        <w:gridCol w:w="1089"/>
      </w:tblGrid>
      <w:tr>
        <w:trPr>
          <w:trHeight w:val="845" w:hRule="atLeast"/>
        </w:trPr>
        <w:tc>
          <w:tcPr>
            <w:tcW w:w="15516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719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19" w:right="27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exact" w:before="9"/>
              <w:ind w:left="413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61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1" w:lineRule="exact" w:before="1"/>
              <w:ind w:right="2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2"/>
              <w:ind w:left="662" w:right="72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1" w:lineRule="exact" w:before="18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2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1" w:lineRule="exact" w:before="18"/>
              <w:ind w:righ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50" w:right="93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1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9"/>
              <w:ind w:left="22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1" w:lineRule="exact" w:before="15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0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46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>
            <w:pPr>
              <w:pStyle w:val="TableParagraph"/>
              <w:spacing w:line="168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2.256.500,00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99,89%</w:t>
            </w:r>
          </w:p>
        </w:tc>
      </w:tr>
      <w:tr>
        <w:trPr>
          <w:trHeight w:val="25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124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160.500,00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100,31%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100,31%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>
            <w:pPr>
              <w:pStyle w:val="TableParagraph"/>
              <w:spacing w:line="168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91,43%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>
        <w:trPr>
          <w:trHeight w:val="25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 w:before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1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7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106,45%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0180 Prijenosi općeg karaktera između različitih državnih razina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106,45%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801" w:top="1100" w:bottom="1000" w:left="720" w:right="36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6"/>
        <w:gridCol w:w="116"/>
        <w:gridCol w:w="112"/>
        <w:gridCol w:w="397"/>
        <w:gridCol w:w="7441"/>
        <w:gridCol w:w="1869"/>
        <w:gridCol w:w="1817"/>
        <w:gridCol w:w="1822"/>
        <w:gridCol w:w="1089"/>
      </w:tblGrid>
      <w:tr>
        <w:trPr>
          <w:trHeight w:val="845" w:hRule="atLeast"/>
        </w:trPr>
        <w:tc>
          <w:tcPr>
            <w:tcW w:w="15516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719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19" w:right="27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exact" w:before="9"/>
              <w:ind w:left="413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61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1" w:lineRule="exact" w:before="1"/>
              <w:ind w:right="2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2"/>
              <w:ind w:left="662" w:right="72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1" w:lineRule="exact" w:before="18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2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1" w:lineRule="exact" w:before="18"/>
              <w:ind w:righ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50" w:right="93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1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9"/>
              <w:ind w:left="22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1" w:lineRule="exact" w:before="15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0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>
        <w:trPr>
          <w:trHeight w:val="48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7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93,33%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>
            <w:pPr>
              <w:pStyle w:val="TableParagraph"/>
              <w:spacing w:line="168" w:lineRule="exact" w:before="39"/>
              <w:ind w:left="19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>
        <w:trPr>
          <w:trHeight w:val="133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3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>
        <w:trPr>
          <w:trHeight w:val="482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96,43%</w:t>
            </w:r>
          </w:p>
        </w:tc>
      </w:tr>
      <w:tr>
        <w:trPr>
          <w:trHeight w:val="258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96,43%</w:t>
            </w:r>
          </w:p>
        </w:tc>
      </w:tr>
      <w:tr>
        <w:trPr>
          <w:trHeight w:val="141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>
        <w:trPr>
          <w:trHeight w:val="483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97,06%</w:t>
            </w:r>
          </w:p>
        </w:tc>
      </w:tr>
      <w:tr>
        <w:trPr>
          <w:trHeight w:val="257" w:hRule="atLeast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>
            <w:pPr>
              <w:pStyle w:val="TableParagraph"/>
              <w:spacing w:line="167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13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2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>
        <w:trPr>
          <w:trHeight w:val="262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K102305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99,33%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6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  <w:tr>
        <w:trPr>
          <w:trHeight w:val="498" w:hRule="atLeast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95,49%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even" r:id="rId13"/>
          <w:footerReference w:type="default" r:id="rId14"/>
          <w:pgSz w:w="16850" w:h="11910" w:orient="landscape"/>
          <w:pgMar w:footer="801" w:header="0" w:top="1100" w:bottom="1000" w:left="720" w:right="360"/>
          <w:pgNumType w:start="4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>
        <w:trPr>
          <w:trHeight w:val="845" w:hRule="atLeast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exact" w:before="9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1" w:lineRule="exact" w:before="1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1" w:lineRule="exact" w:before="18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1" w:lineRule="exact" w:before="18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9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1" w:lineRule="exact" w:before="1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95,49%</w:t>
            </w:r>
          </w:p>
        </w:tc>
      </w:tr>
      <w:tr>
        <w:trPr>
          <w:trHeight w:val="138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95,49%</w:t>
            </w:r>
          </w:p>
        </w:tc>
      </w:tr>
      <w:tr>
        <w:trPr>
          <w:trHeight w:val="483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119,05%</w:t>
            </w:r>
          </w:p>
        </w:tc>
      </w:tr>
      <w:tr>
        <w:trPr>
          <w:trHeight w:val="267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119,05%</w:t>
            </w:r>
          </w:p>
        </w:tc>
      </w:tr>
      <w:tr>
        <w:trPr>
          <w:trHeight w:val="14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 w:before="3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119,05%</w:t>
            </w:r>
          </w:p>
        </w:tc>
      </w:tr>
      <w:tr>
        <w:trPr>
          <w:trHeight w:val="478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2.745.300,00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-88.700,00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2.656.600,00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96,77%</w:t>
            </w:r>
          </w:p>
        </w:tc>
      </w:tr>
      <w:tr>
        <w:trPr>
          <w:trHeight w:val="482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1.684.300,00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1.515.600,00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89,98%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238.200,00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-118.700,00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119.500,00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50,17%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238.200,00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-118.700,00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119.500,00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50,17%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  <w:p>
            <w:pPr>
              <w:pStyle w:val="TableParagraph"/>
              <w:spacing w:line="167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321.000,00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109,66%</w:t>
            </w:r>
          </w:p>
        </w:tc>
      </w:tr>
      <w:tr>
        <w:trPr>
          <w:trHeight w:val="13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5" w:lineRule="exact" w:before="3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109,66%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  <w:p>
            <w:pPr>
              <w:pStyle w:val="TableParagraph"/>
              <w:spacing w:line="168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833.100,00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-129.000,00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704.100,00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84,52%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1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833.100,00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-129.000,00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704.100,00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84,52%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119,83%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119,83%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  <w:p>
            <w:pPr>
              <w:pStyle w:val="TableParagraph"/>
              <w:spacing w:line="167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>
        <w:trPr>
          <w:trHeight w:val="13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>
        <w:trPr>
          <w:trHeight w:val="267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  <w:p>
            <w:pPr>
              <w:pStyle w:val="TableParagraph"/>
              <w:spacing w:line="168" w:lineRule="exact"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 w:before="5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110,42%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0" w:footer="801" w:top="1100" w:bottom="1000" w:left="720" w:right="36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>
        <w:trPr>
          <w:trHeight w:val="845" w:hRule="atLeast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69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4" w:lineRule="exact" w:before="9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61" w:lineRule="exact" w:before="1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line="161" w:lineRule="exact" w:before="18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1" w:lineRule="exact" w:before="18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9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61" w:lineRule="exact" w:before="1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130,77%</w:t>
            </w:r>
          </w:p>
        </w:tc>
      </w:tr>
      <w:tr>
        <w:trPr>
          <w:trHeight w:val="138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130,77%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</w:tr>
      <w:tr>
        <w:trPr>
          <w:trHeight w:val="142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>
        <w:trPr>
          <w:trHeight w:val="262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115,38%</w:t>
            </w:r>
          </w:p>
        </w:tc>
      </w:tr>
      <w:tr>
        <w:trPr>
          <w:trHeight w:val="143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92,59%</w:t>
            </w: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>
        <w:trPr>
          <w:trHeight w:val="483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109,30%</w:t>
            </w:r>
          </w:p>
        </w:tc>
      </w:tr>
      <w:tr>
        <w:trPr>
          <w:trHeight w:val="257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109,30%</w:t>
            </w:r>
          </w:p>
        </w:tc>
      </w:tr>
      <w:tr>
        <w:trPr>
          <w:trHeight w:val="137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108,05%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110,16%</w:t>
            </w:r>
          </w:p>
        </w:tc>
      </w:tr>
      <w:tr>
        <w:trPr>
          <w:trHeight w:val="478" w:hRule="atLeast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88,10%</w:t>
            </w:r>
          </w:p>
        </w:tc>
      </w:tr>
      <w:tr>
        <w:trPr>
          <w:trHeight w:val="258" w:hRule="atLeast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88,10%</w:t>
            </w:r>
          </w:p>
        </w:tc>
      </w:tr>
      <w:tr>
        <w:trPr>
          <w:trHeight w:val="141" w:hRule="atLeast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115,63%</w:t>
            </w:r>
          </w:p>
        </w:tc>
      </w:tr>
      <w:tr>
        <w:trPr>
          <w:trHeight w:val="42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7"/>
              <w:ind w:left="4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7"/>
              <w:ind w:left="-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12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8.071.987,50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12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-128.900,00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7.943.087,50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2"/>
              <w:ind w:right="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98,40%</w:t>
            </w:r>
          </w:p>
        </w:tc>
      </w:tr>
    </w:tbl>
    <w:sectPr>
      <w:pgSz w:w="16850" w:h="11910" w:orient="landscape"/>
      <w:pgMar w:header="0" w:footer="801" w:top="1100" w:bottom="10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54656" from="42.5pt,537.383057pt" to="811.62pt,537.383057pt" stroked="true" strokeweight="1.0059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63998pt;margin-top:540.334412pt;width:21.55pt;height:11.7pt;mso-position-horizontal-relative:page;mso-position-vertical-relative:page;z-index:-259653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440002pt;margin-top:540.238403pt;width:76.4pt;height:20.95pt;mso-position-horizontal-relative:page;mso-position-vertical-relative:page;z-index:-259652608" type="#_x0000_t202" filled="false" stroked="false">
          <v:textbox inset="0,0,0,0">
            <w:txbxContent>
              <w:p>
                <w:pPr>
                  <w:spacing w:line="189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89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8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099976pt;margin-top:551.724243pt;width:28.2pt;height:8.65pt;mso-position-horizontal-relative:page;mso-position-vertical-relative:page;z-index:-259651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50560" from="42.5pt,537.383057pt" to="811.62pt,537.383057pt" stroked="true" strokeweight="1.0059pt" strokecolor="#000000">
          <v:stroke dashstyle="solid"/>
          <w10:wrap type="none"/>
        </v:line>
      </w:pict>
    </w:r>
    <w:r>
      <w:rPr/>
      <w:pict>
        <v:shape style="position:absolute;margin-left:42.363998pt;margin-top:540.334412pt;width:21.55pt;height:11.7pt;mso-position-horizontal-relative:page;mso-position-vertical-relative:page;z-index:-25964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440002pt;margin-top:540.238403pt;width:76.4pt;height:20.95pt;mso-position-horizontal-relative:page;mso-position-vertical-relative:page;z-index:-259648512" type="#_x0000_t202" filled="false" stroked="false">
          <v:textbox inset="0,0,0,0">
            <w:txbxContent>
              <w:p>
                <w:pPr>
                  <w:spacing w:line="189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89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8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099976pt;margin-top:551.724243pt;width:28.2pt;height:8.65pt;mso-position-horizontal-relative:page;mso-position-vertical-relative:page;z-index:-259647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46464" from="42.5pt,537.383057pt" to="811.62pt,537.383057pt" stroked="true" strokeweight="1.0059pt" strokecolor="#000000">
          <v:stroke dashstyle="solid"/>
          <w10:wrap type="none"/>
        </v:line>
      </w:pict>
    </w:r>
    <w:r>
      <w:rPr/>
      <w:pict>
        <v:shape style="position:absolute;margin-left:42.363998pt;margin-top:540.334412pt;width:21.55pt;height:11.7pt;mso-position-horizontal-relative:page;mso-position-vertical-relative:page;z-index:-259645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440002pt;margin-top:540.238403pt;width:76.4pt;height:20.95pt;mso-position-horizontal-relative:page;mso-position-vertical-relative:page;z-index:-259644416" type="#_x0000_t202" filled="false" stroked="false">
          <v:textbox inset="0,0,0,0">
            <w:txbxContent>
              <w:p>
                <w:pPr>
                  <w:spacing w:line="189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89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8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099976pt;margin-top:551.724243pt;width:28.2pt;height:8.65pt;mso-position-horizontal-relative:page;mso-position-vertical-relative:page;z-index:-259643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2.507999pt;margin-top:540.238464pt;width:21.3pt;height:11.65pt;mso-position-horizontal-relative:page;mso-position-vertical-relative:page;z-index:-259642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5.960022pt;margin-top:539.975464pt;width:77.95pt;height:22.9pt;mso-position-horizontal-relative:page;mso-position-vertical-relative:page;z-index:-259641344" type="#_x0000_t202" filled="false" stroked="false">
          <v:textbox inset="0,0,0,0">
            <w:txbxContent>
              <w:p>
                <w:pPr>
                  <w:spacing w:before="19"/>
                  <w:ind w:left="0" w:right="7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  <w:p>
                <w:pPr>
                  <w:spacing w:before="32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820007pt;margin-top:554.574219pt;width:27.65pt;height:8.65pt;mso-position-horizontal-relative:page;mso-position-vertical-relative:page;z-index:-259640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2.507999pt;margin-top:540.358459pt;width:21.3pt;height:11.65pt;mso-position-horizontal-relative:page;mso-position-vertical-relative:page;z-index:-259639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5.960022pt;margin-top:540.095459pt;width:77.95pt;height:22.9pt;mso-position-horizontal-relative:page;mso-position-vertical-relative:page;z-index:-259638272" type="#_x0000_t202" filled="false" stroked="false">
          <v:textbox inset="0,0,0,0">
            <w:txbxContent>
              <w:p>
                <w:pPr>
                  <w:spacing w:before="19"/>
                  <w:ind w:left="0" w:right="7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  <w:p>
                <w:pPr>
                  <w:spacing w:before="32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820007pt;margin-top:554.694214pt;width:27.65pt;height:8.65pt;mso-position-horizontal-relative:page;mso-position-vertical-relative:page;z-index:-259637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36224" from="42.5pt,540.269043pt" to="817.05pt,540.269043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507999pt;margin-top:540.358459pt;width:22.3pt;height:11.65pt;mso-position-horizontal-relative:page;mso-position-vertical-relative:page;z-index:-259635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5.960022pt;margin-top:540.095459pt;width:77.95pt;height:22.9pt;mso-position-horizontal-relative:page;mso-position-vertical-relative:page;z-index:-259634176" type="#_x0000_t202" filled="false" stroked="false">
          <v:textbox inset="0,0,0,0">
            <w:txbxContent>
              <w:p>
                <w:pPr>
                  <w:spacing w:before="19"/>
                  <w:ind w:left="0" w:right="7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  <w:p>
                <w:pPr>
                  <w:spacing w:before="32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820007pt;margin-top:554.694214pt;width:27.65pt;height:8.65pt;mso-position-horizontal-relative:page;mso-position-vertical-relative:page;z-index:-25963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32128" from="42.5pt,540.269043pt" to="817.05pt,540.269043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507999pt;margin-top:540.358459pt;width:22.3pt;height:11.65pt;mso-position-horizontal-relative:page;mso-position-vertical-relative:page;z-index:-259631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5.960022pt;margin-top:540.095459pt;width:77.95pt;height:22.9pt;mso-position-horizontal-relative:page;mso-position-vertical-relative:page;z-index:-259630080" type="#_x0000_t202" filled="false" stroked="false">
          <v:textbox inset="0,0,0,0">
            <w:txbxContent>
              <w:p>
                <w:pPr>
                  <w:spacing w:before="19"/>
                  <w:ind w:left="0" w:right="7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  <w:p>
                <w:pPr>
                  <w:spacing w:before="32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820007pt;margin-top:554.694214pt;width:27.65pt;height:8.65pt;mso-position-horizontal-relative:page;mso-position-vertical-relative:page;z-index:-259629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9628032" from="42.5pt,540.269043pt" to="817.05pt,540.269043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507999pt;margin-top:540.358459pt;width:22.3pt;height:11.65pt;mso-position-horizontal-relative:page;mso-position-vertical-relative:page;z-index:-259627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5.960022pt;margin-top:540.095459pt;width:77.95pt;height:22.9pt;mso-position-horizontal-relative:page;mso-position-vertical-relative:page;z-index:-259625984" type="#_x0000_t202" filled="false" stroked="false">
          <v:textbox inset="0,0,0,0">
            <w:txbxContent>
              <w:p>
                <w:pPr>
                  <w:spacing w:before="19"/>
                  <w:ind w:left="0" w:right="7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  <w:p>
                <w:pPr>
                  <w:spacing w:before="32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820007pt;margin-top:554.694214pt;width:27.65pt;height:8.65pt;mso-position-horizontal-relative:page;mso-position-vertical-relative:page;z-index:-259624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860" w:hanging="303"/>
        <w:jc w:val="left"/>
      </w:pPr>
      <w:rPr>
        <w:rFonts w:hint="default" w:ascii="Tahoma" w:hAnsi="Tahoma" w:eastAsia="Tahoma" w:cs="Tahoma"/>
        <w:b/>
        <w:bCs/>
        <w:spacing w:val="-1"/>
        <w:w w:val="99"/>
        <w:sz w:val="28"/>
        <w:szCs w:val="28"/>
        <w:lang w:val="bs" w:eastAsia="bs" w:bidi="bs"/>
      </w:rPr>
    </w:lvl>
    <w:lvl w:ilvl="1">
      <w:start w:val="0"/>
      <w:numFmt w:val="bullet"/>
      <w:lvlText w:val="•"/>
      <w:lvlJc w:val="left"/>
      <w:pPr>
        <w:ind w:left="5455" w:hanging="303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6051" w:hanging="303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6647" w:hanging="303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7243" w:hanging="303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7839" w:hanging="303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8435" w:hanging="303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9031" w:hanging="303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9627" w:hanging="303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bs" w:eastAsia="bs" w:bidi="bs"/>
    </w:rPr>
  </w:style>
  <w:style w:styleId="Heading1" w:type="paragraph">
    <w:name w:val="Heading 1"/>
    <w:basedOn w:val="Normal"/>
    <w:uiPriority w:val="1"/>
    <w:qFormat/>
    <w:pPr>
      <w:spacing w:before="36"/>
      <w:ind w:right="19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bs" w:bidi="bs"/>
    </w:rPr>
  </w:style>
  <w:style w:styleId="Heading2" w:type="paragraph">
    <w:name w:val="Heading 2"/>
    <w:basedOn w:val="Normal"/>
    <w:uiPriority w:val="1"/>
    <w:qFormat/>
    <w:pPr>
      <w:spacing w:before="49"/>
      <w:jc w:val="center"/>
      <w:outlineLvl w:val="2"/>
    </w:pPr>
    <w:rPr>
      <w:rFonts w:ascii="Arial" w:hAnsi="Arial" w:eastAsia="Arial" w:cs="Arial"/>
      <w:b/>
      <w:bCs/>
      <w:sz w:val="22"/>
      <w:szCs w:val="22"/>
      <w:lang w:val="bs" w:eastAsia="bs" w:bidi="bs"/>
    </w:rPr>
  </w:style>
  <w:style w:styleId="Heading3" w:type="paragraph">
    <w:name w:val="Heading 3"/>
    <w:basedOn w:val="Normal"/>
    <w:uiPriority w:val="1"/>
    <w:qFormat/>
    <w:pPr>
      <w:spacing w:before="72"/>
      <w:ind w:right="165"/>
      <w:jc w:val="center"/>
      <w:outlineLvl w:val="3"/>
    </w:pPr>
    <w:rPr>
      <w:rFonts w:ascii="Times New Roman" w:hAnsi="Times New Roman" w:eastAsia="Times New Roman" w:cs="Times New Roman"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before="236"/>
      <w:ind w:left="4860" w:hanging="304"/>
    </w:pPr>
    <w:rPr>
      <w:rFonts w:ascii="Tahoma" w:hAnsi="Tahoma" w:eastAsia="Tahoma" w:cs="Tahoma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2019-12-13T12:47:15Z</dcterms:created>
  <dcterms:modified xsi:type="dcterms:W3CDTF">2019-12-13T12:47:15Z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2019-12-13T00:00:00Z</vt:filetime>
  </property>
</Properties>
</file>